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2336A1" w14:textId="77777777" w:rsidR="00495D48" w:rsidRPr="00495D48" w:rsidRDefault="00495D48" w:rsidP="00495D48">
      <w:pPr>
        <w:spacing w:before="120" w:after="120"/>
        <w:jc w:val="right"/>
        <w:rPr>
          <w:rFonts w:ascii="Times New Roman" w:hAnsi="Times New Roman" w:cs="Times New Roman"/>
          <w:b/>
        </w:rPr>
      </w:pPr>
      <w:r w:rsidRPr="00495D48">
        <w:rPr>
          <w:rFonts w:ascii="Times New Roman" w:hAnsi="Times New Roman" w:cs="Times New Roman"/>
          <w:b/>
        </w:rPr>
        <w:t>Mẫu số 81</w:t>
      </w:r>
    </w:p>
    <w:p w14:paraId="58F39E05" w14:textId="77777777" w:rsidR="00495D48" w:rsidRPr="00E17BBF" w:rsidRDefault="00495D48" w:rsidP="00495D48">
      <w:pPr>
        <w:spacing w:before="120" w:after="120"/>
        <w:jc w:val="center"/>
        <w:rPr>
          <w:rFonts w:ascii="Times New Roman" w:hAnsi="Times New Roman" w:cs="Times New Roman"/>
          <w:b/>
          <w:sz w:val="28"/>
        </w:rPr>
      </w:pPr>
      <w:r w:rsidRPr="00E17BBF">
        <w:rPr>
          <w:rFonts w:ascii="Times New Roman" w:hAnsi="Times New Roman" w:cs="Times New Roman"/>
          <w:b/>
          <w:sz w:val="28"/>
        </w:rPr>
        <w:t>PHƯƠNG ÁN HỢP NHẤT, SÁP NHẬP</w:t>
      </w:r>
    </w:p>
    <w:p w14:paraId="1502165D"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1. Thông tin về các công ty tham gia hợp nhất/sáp nhập</w:t>
      </w:r>
    </w:p>
    <w:p w14:paraId="0C209A85"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Tên đầy đủ, tên viết tắt, tên giao dịch tiếng Việt, tiếng Anh, địa chỉ trụ sở chính; website của các công ty bị hợp nhất, sáp nhập; Danh sách thành viên Hội đồng quản trị, Hội đồng thành viên hoặc Chủ sở hữu; Ban kiểm soát, Tổng giám đốc, Người đại diện theo pháp luật;</w:t>
      </w:r>
    </w:p>
    <w:p w14:paraId="59D4A4A6"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Danh sách các cổ đông, thành viên góp vốn vào các công ty bị hợp nhất/sáp nhập/sáp nhập sở hữu từ 1% vốn điều lệ trở lên (theo mẫu tại Phụ lục V);</w:t>
      </w:r>
    </w:p>
    <w:p w14:paraId="4DBD6752"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Tóm tắt tình hình tài chính và hoạt động của công ty bị hợp nhất, sáp nhập trong 03 năm gần nhất, hoặc trong suốt thời gian hoạt động (trường hợp công ty hoạt động dưới ba 03 năm);</w:t>
      </w:r>
    </w:p>
    <w:p w14:paraId="763187A8"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xml:space="preserve">- Cơ cấu nguồn vốn và tài sản; vốn điều lệ, số lượng </w:t>
      </w:r>
      <w:bookmarkStart w:id="0" w:name="_GoBack"/>
      <w:bookmarkEnd w:id="0"/>
      <w:r w:rsidRPr="00495D48">
        <w:rPr>
          <w:rFonts w:ascii="Times New Roman" w:hAnsi="Times New Roman" w:cs="Times New Roman"/>
        </w:rPr>
        <w:t>cổ phiếu có quyền biểu quyết đang lưu hành, các loại chứng khoán khác đã phát hành và số lượng từng loại (nếu có); số lượng cổ phiếu quỹ; số cổ phần, giá trị phần vốn góp vào các công ty khác cũng tham gia hợp nhất, sáp nhập.</w:t>
      </w:r>
    </w:p>
    <w:p w14:paraId="652E342F"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2. Thông tin về công ty sau hợp nhất, sáp nhập</w:t>
      </w:r>
    </w:p>
    <w:p w14:paraId="3894EE87"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Tên đầy đủ, tên viết tắt, tên giao dịch tiếng Việt, tiếng Anh, địa chỉ trụ sở chính; phạm vi hoạt động kinh doanh của tổ chức kinh doanh hợp nhất, sáp nhập; Danh sách thành viên Hội đồng quản trị, Hội đồng thành viên, Ban Kiểm soát; dự kiến nhân sự quản lý (Tổng Giám đốc, Phó Tổng Giám đốc); cơ cấu tổ chức, hoạt động và quản lý; danh sách các địa điểm kinh doanh bao gồm địa chỉ trụ sở chính, phòng giao dịch, văn phòng đại diện;</w:t>
      </w:r>
    </w:p>
    <w:p w14:paraId="448F89C2"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Cơ cấu nguồn vốn và tài sản sau hợp nhất, sáp nhập; số lượng cổ phiếu dự kiến lưu hành, giá trị phần vốn góp dự kiến sau hợp nhất, sáp nhập;</w:t>
      </w:r>
    </w:p>
    <w:p w14:paraId="51A4B3B6"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Thông tin về các mối liên hệ giữa các tổ chức bị hợp nhất bao gồm: quan hệ sở hữu chéo và quan hệ người có liên quan khác; quan hệ kinh doanh và các quan hệ khác với bên thứ ba.</w:t>
      </w:r>
    </w:p>
    <w:p w14:paraId="368F3DF6"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3. Thông tin về việc hợp nhất, sáp nhập</w:t>
      </w:r>
    </w:p>
    <w:p w14:paraId="3048CEF9"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Mục đích hợp nhất, sáp nhập; hình thức hợp nhất, sáp nhập; chi phí hợp nhất, sáp nhập; phương pháp kế toán hợp nhất, sáp nhập;</w:t>
      </w:r>
    </w:p>
    <w:p w14:paraId="743900AB"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Các phương pháp xác định giá trị cổ phần, phần vốn góp và hạn chế của từng phương pháp (nếu có); giá trị cổ phần, phần vốn góp, trái phiếu chuyển đổi; tỷ lệ chuyển đổi dự kiến cổ phần, phần vốn góp, trái phiếu chuyển đổi; các trường hợp bắt buộc phải điều chỉnh tỷ lệ chuyển đổi và mức độ điều chỉnh tỷ lệ chuyển đổi; thời hạn, thủ tục và điều kiện chuyển đổi tài sản; tỷ suất lợi nhuận trên vốn mỗi cổ phần, phần vốn góp trước và sau hợp nhất, sáp nhập; so sánh giá thị trường, giá trị hợp lý với giá trị sau khi chuyển đổi;</w:t>
      </w:r>
    </w:p>
    <w:p w14:paraId="49DB94A2"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Lộ trình hợp nhất, sáp nhập: ngày dự kiến ký hợp đồng hợp nhất, sáp nhập, ngày hợp nhất, sáp nhập dự kiến; trình tự, thủ tục, điều kiện, tổ chức thực hiện chuyển đổi cổ phần, phần vốn góp, trái phiếu chuyển đổi;</w:t>
      </w:r>
    </w:p>
    <w:p w14:paraId="07E1F614"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Thời hạn, thủ tục thực hiện việc hủy niêm yết chứng khoán (trong trường hợp công ty bị hợp nhất, sáp nhập có chứng khoán niêm yết tại Sở Giao dịch Chứng khoán); thủ tục hủy đăng ký, lưu ký (trường hợp tổ chức bị hợp nhất, sáp nhập đã đăng ký, lưu ký);</w:t>
      </w:r>
    </w:p>
    <w:p w14:paraId="02AA0DF9"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lastRenderedPageBreak/>
        <w:t>- Phương án huy động vốn, trong trường hợp tổ chức bị hợp nhất, sáp nhập không đủ năng lực tài chính để bảo đảm quyền lợi của các bên có liên quan phản đối, không đồng ý việc hợp nhất, sáp nhập;</w:t>
      </w:r>
    </w:p>
    <w:p w14:paraId="50E6BF7B"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Thời điểm dự kiến mà các hoạt động kinh doanh của công ty bị hợp nhất, sáp nhập bắt đầu được hạch toán tại sổ kế toán của công ty hợp nhất, sáp nhập.</w:t>
      </w:r>
    </w:p>
    <w:p w14:paraId="3F4CAA1A"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4. Phương án bảo vệ quyền lợi, lợi ích hợp pháp của các tổ chức, cá nhân có liên quan</w:t>
      </w:r>
    </w:p>
    <w:p w14:paraId="7B267ECF"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Đối với cổ đông, thành viên góp vốn: trách nhiệm mua lại cổ phần, phần vốn góp của cổ đông, thành viên góp vốn phản đối việc hợp nhất, sáp nhập; nguyên tắc xác định giá mua lại; thời gian dự kiến thực hiện mua lại; thủ tục, điều kiện mua lại, hình thức thanh toán, nguồn vốn thanh toán;</w:t>
      </w:r>
    </w:p>
    <w:p w14:paraId="0EDBC376"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Đối với trái chủ: trách nhiệm mua lại trái phiếu theo quy định tại điều kiện phát hành (nếu có);</w:t>
      </w:r>
    </w:p>
    <w:p w14:paraId="1FE64DE0"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Đối với chủ nợ: cam kết và phương án thanh toán nợ;</w:t>
      </w:r>
    </w:p>
    <w:p w14:paraId="61465334"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Đối với người lao động và các chức danh quản lý: điều kiện làm việc, chế độ đãi ngộ, quyền lợi và nghĩa vụ của người lao động; thành viên Hội đồng quản trị, Hội đồng thành viên, Chủ sở hữu, Ban Kiểm soát;</w:t>
      </w:r>
    </w:p>
    <w:p w14:paraId="61F2E102"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 Đối với khách hàng: Phương án xử lý các hợp đồng kinh doanh chứng khoán còn hiệu lực, việc bàn giao thực hiện hợp đồng còn hiệu lực cho công ty thay thế, điều kiện bàn giao hợp đồng, nguồn vốn và chi phí bồi thường cho các bên có liên quan (nếu có).</w:t>
      </w:r>
    </w:p>
    <w:p w14:paraId="3DAEF1E1"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5. Quyền và nghĩa vụ của công ty bị hợp nhất, sáp nhập về các vấn đề có thể ảnh hưởng tới giá trị tài sản doanh nghiệp và tỷ lệ chuyển đổi trong thời gian kể từ khi Hợp đồng được ký kết tới ngày hợp nhất, sáp nhập: điều kiện giao dịch mua cổ phiếu quỹ, ngoại trừ trường hợp mua cổ phiếu từ các cổ đông phản đối việc hợp nhất, sáp nhập; bổ sung công ty tham gia việc hợp nhất, sáp nhập; thay đổi vốn điều lệ hoặc các hoạt động làm thay đổi tình hình tài chính của công ty bị hợp nhất, sáp nhập; thông tin về các tranh chấp, khiếu kiện và các vấn đề tương đương mà công ty bị hợp nhất, sáp nhập đang tham gia.</w:t>
      </w:r>
    </w:p>
    <w:p w14:paraId="7B820AA5"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6. Thẩm quyền quyết định của Hội đồng quản trị, Hội đồng thành viên liên quan tới việc điều chỉnh tỷ lệ chuyển đổi, phê duyệt Hợp đồng hợp nhất, sáp nhập và các vấn đề quan trọng khác có ảnh hưởng tới cổ đông, thành viên góp vốn; các trường hợp buộc phải lấy lại ý kiến Đại hội đồng cổ đông, Hội đồng thành viên.</w:t>
      </w:r>
    </w:p>
    <w:p w14:paraId="46DF47D7"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7. Các nội dung sửa đổi tại Điều lệ Công ty hợp nhất, sáp nhập.</w:t>
      </w:r>
    </w:p>
    <w:p w14:paraId="7ED3CC28"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8. Các nội dung liên quan tới thuế và các nghĩa vụ tài chính đối với Nhà nước.</w:t>
      </w:r>
    </w:p>
    <w:p w14:paraId="1E4C1E8F" w14:textId="77777777" w:rsidR="00495D48" w:rsidRPr="00495D48" w:rsidRDefault="00495D48" w:rsidP="00E17BBF">
      <w:pPr>
        <w:spacing w:before="120" w:after="120"/>
        <w:jc w:val="both"/>
        <w:rPr>
          <w:rFonts w:ascii="Times New Roman" w:hAnsi="Times New Roman" w:cs="Times New Roman"/>
        </w:rPr>
      </w:pPr>
      <w:r w:rsidRPr="00495D48">
        <w:rPr>
          <w:rFonts w:ascii="Times New Roman" w:hAnsi="Times New Roman" w:cs="Times New Roman"/>
        </w:rPr>
        <w:t>9. Các phương án xử lý và/hoặc bồi thường trong trường hợp một bên bị hợp nhất, sáp nhập đơn phương hủy bỏ thỏa thuận hợp nhất, sáp nhập.</w:t>
      </w:r>
    </w:p>
    <w:p w14:paraId="693D0985" w14:textId="77777777" w:rsidR="00495D48" w:rsidRPr="00495D48" w:rsidRDefault="00495D48" w:rsidP="00495D48">
      <w:pPr>
        <w:spacing w:before="120" w:after="120"/>
        <w:rPr>
          <w:rFonts w:ascii="Times New Roman" w:hAnsi="Times New Roman" w:cs="Times New Roman"/>
        </w:rPr>
      </w:pPr>
    </w:p>
    <w:tbl>
      <w:tblPr>
        <w:tblW w:w="5000" w:type="pct"/>
        <w:jc w:val="center"/>
        <w:tblLook w:val="01E0" w:firstRow="1" w:lastRow="1" w:firstColumn="1" w:lastColumn="1" w:noHBand="0" w:noVBand="0"/>
      </w:tblPr>
      <w:tblGrid>
        <w:gridCol w:w="3150"/>
        <w:gridCol w:w="5202"/>
      </w:tblGrid>
      <w:tr w:rsidR="00495D48" w:rsidRPr="00495D48" w14:paraId="295B4E69" w14:textId="77777777" w:rsidTr="00E17BBF">
        <w:trPr>
          <w:jc w:val="center"/>
        </w:trPr>
        <w:tc>
          <w:tcPr>
            <w:tcW w:w="3150" w:type="dxa"/>
          </w:tcPr>
          <w:p w14:paraId="65A32EA5" w14:textId="77777777" w:rsidR="00495D48" w:rsidRPr="00495D48" w:rsidRDefault="00495D48" w:rsidP="00495D48">
            <w:pPr>
              <w:spacing w:before="120" w:after="120"/>
              <w:rPr>
                <w:rFonts w:ascii="Times New Roman" w:eastAsia="Times New Roman" w:hAnsi="Times New Roman" w:cs="Times New Roman"/>
              </w:rPr>
            </w:pPr>
          </w:p>
        </w:tc>
        <w:tc>
          <w:tcPr>
            <w:tcW w:w="5202" w:type="dxa"/>
          </w:tcPr>
          <w:p w14:paraId="40416F65" w14:textId="52765D06" w:rsidR="00495D48" w:rsidRPr="00495D48" w:rsidRDefault="00495D48" w:rsidP="00495D48">
            <w:pPr>
              <w:spacing w:before="120" w:after="120"/>
              <w:jc w:val="center"/>
              <w:rPr>
                <w:rFonts w:ascii="Times New Roman" w:eastAsia="Times New Roman" w:hAnsi="Times New Roman" w:cs="Times New Roman"/>
                <w:b/>
              </w:rPr>
            </w:pPr>
            <w:r w:rsidRPr="00495D48">
              <w:rPr>
                <w:rFonts w:ascii="Times New Roman" w:eastAsia="Times New Roman" w:hAnsi="Times New Roman" w:cs="Times New Roman"/>
                <w:b/>
              </w:rPr>
              <w:t>NGƯỜI ĐẠI DIỆN THEO PHÁP LUẬT CỦA</w:t>
            </w:r>
            <w:r w:rsidRPr="00495D48">
              <w:rPr>
                <w:rFonts w:ascii="Times New Roman" w:eastAsia="Times New Roman" w:hAnsi="Times New Roman" w:cs="Times New Roman"/>
                <w:b/>
              </w:rPr>
              <w:br/>
              <w:t>CÔNG TY THAM GIA TỔ CHỨC LẠI</w:t>
            </w:r>
            <w:r w:rsidRPr="00495D48">
              <w:rPr>
                <w:rFonts w:ascii="Times New Roman" w:eastAsia="Times New Roman" w:hAnsi="Times New Roman" w:cs="Times New Roman"/>
                <w:b/>
              </w:rPr>
              <w:br/>
            </w:r>
            <w:r w:rsidRPr="00495D48">
              <w:rPr>
                <w:rFonts w:ascii="Times New Roman" w:eastAsia="Times New Roman" w:hAnsi="Times New Roman" w:cs="Times New Roman"/>
                <w:i/>
              </w:rPr>
              <w:t>(Ký tên, đóng dấu)</w:t>
            </w:r>
          </w:p>
        </w:tc>
      </w:tr>
    </w:tbl>
    <w:p w14:paraId="5873F665" w14:textId="77777777" w:rsidR="007B0EBA" w:rsidRPr="00495D48" w:rsidRDefault="007B0EBA" w:rsidP="00495D48">
      <w:pPr>
        <w:spacing w:before="120" w:after="120"/>
        <w:rPr>
          <w:rFonts w:ascii="Times New Roman" w:hAnsi="Times New Roman" w:cs="Times New Roman"/>
        </w:rPr>
      </w:pPr>
    </w:p>
    <w:sectPr w:rsidR="007B0EBA" w:rsidRPr="00495D48" w:rsidSect="006D6216">
      <w:footerReference w:type="default" r:id="rId6"/>
      <w:pgSz w:w="9792" w:h="15842"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AFB8C5" w14:textId="77777777" w:rsidR="0064671B" w:rsidRDefault="0064671B" w:rsidP="00FF02FE">
      <w:r>
        <w:separator/>
      </w:r>
    </w:p>
  </w:endnote>
  <w:endnote w:type="continuationSeparator" w:id="0">
    <w:p w14:paraId="36C969B2" w14:textId="77777777" w:rsidR="0064671B" w:rsidRDefault="0064671B" w:rsidP="00FF0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961306455"/>
      <w:docPartObj>
        <w:docPartGallery w:val="Page Numbers (Bottom of Page)"/>
        <w:docPartUnique/>
      </w:docPartObj>
    </w:sdtPr>
    <w:sdtEndPr>
      <w:rPr>
        <w:noProof/>
      </w:rPr>
    </w:sdtEndPr>
    <w:sdtContent>
      <w:p w14:paraId="11DB7DDA" w14:textId="372D5E8E" w:rsidR="00FF02FE" w:rsidRPr="00E17BBF" w:rsidRDefault="00E17BBF" w:rsidP="00E17BBF">
        <w:pPr>
          <w:pStyle w:val="Footer"/>
          <w:tabs>
            <w:tab w:val="right" w:pos="8190"/>
          </w:tabs>
          <w:rPr>
            <w:rFonts w:ascii="Times New Roman" w:hAnsi="Times New Roman" w:cs="Times New Roman"/>
            <w:noProof/>
          </w:rPr>
        </w:pPr>
        <w:r w:rsidRPr="00E17BBF">
          <w:rPr>
            <w:rFonts w:ascii="Times New Roman" w:hAnsi="Times New Roman" w:cs="Times New Roman"/>
            <w:noProof/>
          </w:rPr>
          <w:t xml:space="preserve">BACHKHOALUAT.VN </w:t>
        </w:r>
        <w:r w:rsidRPr="00E17BBF">
          <w:rPr>
            <w:rFonts w:ascii="Times New Roman" w:hAnsi="Times New Roman" w:cs="Times New Roman"/>
            <w:noProof/>
          </w:rPr>
          <w:tab/>
        </w:r>
        <w:r>
          <w:rPr>
            <w:rFonts w:ascii="Times New Roman" w:hAnsi="Times New Roman" w:cs="Times New Roman"/>
            <w:noProof/>
          </w:rPr>
          <w:tab/>
        </w:r>
        <w:r w:rsidRPr="00E17BBF">
          <w:rPr>
            <w:rFonts w:ascii="Times New Roman" w:hAnsi="Times New Roman" w:cs="Times New Roman"/>
          </w:rPr>
          <w:fldChar w:fldCharType="begin"/>
        </w:r>
        <w:r w:rsidRPr="00E17BBF">
          <w:rPr>
            <w:rFonts w:ascii="Times New Roman" w:hAnsi="Times New Roman" w:cs="Times New Roman"/>
          </w:rPr>
          <w:instrText xml:space="preserve"> PAGE   \* MERGEFORMAT </w:instrText>
        </w:r>
        <w:r w:rsidRPr="00E17BBF">
          <w:rPr>
            <w:rFonts w:ascii="Times New Roman" w:hAnsi="Times New Roman" w:cs="Times New Roman"/>
          </w:rPr>
          <w:fldChar w:fldCharType="separate"/>
        </w:r>
        <w:r>
          <w:rPr>
            <w:rFonts w:ascii="Times New Roman" w:hAnsi="Times New Roman" w:cs="Times New Roman"/>
            <w:noProof/>
          </w:rPr>
          <w:t>2</w:t>
        </w:r>
        <w:r w:rsidRPr="00E17BBF">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3E3729" w14:textId="77777777" w:rsidR="0064671B" w:rsidRDefault="0064671B" w:rsidP="00FF02FE">
      <w:r>
        <w:separator/>
      </w:r>
    </w:p>
  </w:footnote>
  <w:footnote w:type="continuationSeparator" w:id="0">
    <w:p w14:paraId="3B09750A" w14:textId="77777777" w:rsidR="0064671B" w:rsidRDefault="0064671B" w:rsidP="00FF02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216"/>
    <w:rsid w:val="00064C8A"/>
    <w:rsid w:val="00495D48"/>
    <w:rsid w:val="0064671B"/>
    <w:rsid w:val="006C7558"/>
    <w:rsid w:val="006D6216"/>
    <w:rsid w:val="007B0EBA"/>
    <w:rsid w:val="00E17BBF"/>
    <w:rsid w:val="00EE5CFD"/>
    <w:rsid w:val="00FF02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D87C0"/>
  <w15:chartTrackingRefBased/>
  <w15:docId w15:val="{72898B95-19CB-4B55-BE14-E012FD8BF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216"/>
    <w:pPr>
      <w:widowControl w:val="0"/>
      <w:spacing w:after="0" w:line="240" w:lineRule="auto"/>
    </w:pPr>
    <w:rPr>
      <w:rFonts w:ascii="Tahoma" w:eastAsia="Tahoma" w:hAnsi="Tahoma" w:cs="Tahoma"/>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6D6216"/>
    <w:pPr>
      <w:tabs>
        <w:tab w:val="left" w:pos="1152"/>
      </w:tabs>
      <w:spacing w:before="120" w:after="120" w:line="312" w:lineRule="auto"/>
    </w:pPr>
    <w:rPr>
      <w:rFonts w:ascii="Arial" w:eastAsia="Times New Roman" w:hAnsi="Arial" w:cs="Arial"/>
      <w:sz w:val="26"/>
      <w:szCs w:val="26"/>
      <w:lang w:val="en-US"/>
    </w:rPr>
  </w:style>
  <w:style w:type="paragraph" w:styleId="Header">
    <w:name w:val="header"/>
    <w:basedOn w:val="Normal"/>
    <w:link w:val="HeaderChar"/>
    <w:uiPriority w:val="99"/>
    <w:unhideWhenUsed/>
    <w:rsid w:val="00FF02FE"/>
    <w:pPr>
      <w:tabs>
        <w:tab w:val="center" w:pos="4513"/>
        <w:tab w:val="right" w:pos="9026"/>
      </w:tabs>
    </w:pPr>
  </w:style>
  <w:style w:type="character" w:customStyle="1" w:styleId="HeaderChar">
    <w:name w:val="Header Char"/>
    <w:basedOn w:val="DefaultParagraphFont"/>
    <w:link w:val="Header"/>
    <w:uiPriority w:val="99"/>
    <w:rsid w:val="00FF02FE"/>
    <w:rPr>
      <w:rFonts w:ascii="Tahoma" w:eastAsia="Tahoma" w:hAnsi="Tahoma" w:cs="Tahoma"/>
      <w:color w:val="000000"/>
      <w:sz w:val="24"/>
      <w:szCs w:val="24"/>
      <w:lang w:eastAsia="vi-VN"/>
    </w:rPr>
  </w:style>
  <w:style w:type="paragraph" w:styleId="Footer">
    <w:name w:val="footer"/>
    <w:basedOn w:val="Normal"/>
    <w:link w:val="FooterChar"/>
    <w:uiPriority w:val="99"/>
    <w:unhideWhenUsed/>
    <w:rsid w:val="00FF02FE"/>
    <w:pPr>
      <w:tabs>
        <w:tab w:val="center" w:pos="4513"/>
        <w:tab w:val="right" w:pos="9026"/>
      </w:tabs>
    </w:pPr>
  </w:style>
  <w:style w:type="character" w:customStyle="1" w:styleId="FooterChar">
    <w:name w:val="Footer Char"/>
    <w:basedOn w:val="DefaultParagraphFont"/>
    <w:link w:val="Footer"/>
    <w:uiPriority w:val="99"/>
    <w:rsid w:val="00FF02FE"/>
    <w:rPr>
      <w:rFonts w:ascii="Tahoma" w:eastAsia="Tahoma" w:hAnsi="Tahoma" w:cs="Tahoma"/>
      <w:color w:val="000000"/>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831</Words>
  <Characters>4737</Characters>
  <Application>Microsoft Office Word</Application>
  <DocSecurity>0</DocSecurity>
  <Lines>39</Lines>
  <Paragraphs>11</Paragraphs>
  <ScaleCrop>false</ScaleCrop>
  <Company/>
  <LinksUpToDate>false</LinksUpToDate>
  <CharactersWithSpaces>5557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Phương Linh</dc:creator>
  <cp:keywords/>
  <dc:description/>
  <cp:lastModifiedBy>Admin</cp:lastModifiedBy>
  <cp:revision>4</cp:revision>
  <dcterms:created xsi:type="dcterms:W3CDTF">2021-06-14T09:14:00Z</dcterms:created>
  <dcterms:modified xsi:type="dcterms:W3CDTF">2021-08-03T12:54:00Z</dcterms:modified>
</cp:coreProperties>
</file>